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A4F4" w14:textId="20E40295" w:rsidR="002D2147" w:rsidRDefault="002D2147" w:rsidP="002D2147">
      <w:pPr>
        <w:spacing w:before="120" w:after="120"/>
        <w:jc w:val="center"/>
        <w:rPr>
          <w:b/>
          <w:bCs/>
        </w:rPr>
      </w:pPr>
      <w:r>
        <w:rPr>
          <w:b/>
          <w:bCs/>
        </w:rPr>
        <w:t>70 lat IOR – PIB</w:t>
      </w:r>
    </w:p>
    <w:p w14:paraId="087FA142" w14:textId="52247C64" w:rsidR="002D2147" w:rsidRDefault="002D2147" w:rsidP="00825352">
      <w:pPr>
        <w:spacing w:before="120" w:after="120"/>
        <w:jc w:val="both"/>
        <w:rPr>
          <w:b/>
          <w:bCs/>
        </w:rPr>
      </w:pPr>
      <w:r>
        <w:rPr>
          <w:b/>
          <w:bCs/>
        </w:rPr>
        <w:t>O roli Instytutu Ochrony Roślin – Państwowego Instytutu Badawczego w polskim rolnictwie, jubileuszu 70-lecia</w:t>
      </w:r>
      <w:r w:rsidR="009034A1">
        <w:rPr>
          <w:b/>
          <w:bCs/>
        </w:rPr>
        <w:t xml:space="preserve">, </w:t>
      </w:r>
      <w:r>
        <w:rPr>
          <w:b/>
          <w:bCs/>
        </w:rPr>
        <w:t>kamieniach milowych w historii</w:t>
      </w:r>
      <w:r w:rsidR="009034A1">
        <w:rPr>
          <w:b/>
          <w:bCs/>
        </w:rPr>
        <w:t xml:space="preserve"> oraz o </w:t>
      </w:r>
      <w:r>
        <w:rPr>
          <w:b/>
          <w:bCs/>
        </w:rPr>
        <w:t>przyszłości Instytutu opowiada prof. dr hab. Marek Mrówczyński, Dyrektor IOR – PIB w Poznaniu.</w:t>
      </w:r>
    </w:p>
    <w:p w14:paraId="3910CA90" w14:textId="77777777" w:rsidR="002D2147" w:rsidRDefault="002D2147" w:rsidP="00825352">
      <w:pPr>
        <w:spacing w:before="120" w:after="120"/>
        <w:jc w:val="both"/>
        <w:rPr>
          <w:b/>
          <w:bCs/>
        </w:rPr>
      </w:pPr>
    </w:p>
    <w:p w14:paraId="006D7D8B" w14:textId="49DEEEE5" w:rsidR="00B54AFB" w:rsidRDefault="00B54AFB" w:rsidP="00825352">
      <w:pPr>
        <w:spacing w:before="120" w:after="120"/>
        <w:jc w:val="both"/>
        <w:rPr>
          <w:b/>
          <w:bCs/>
        </w:rPr>
      </w:pPr>
      <w:r>
        <w:rPr>
          <w:b/>
          <w:bCs/>
        </w:rPr>
        <w:t>W 2021 roku przypada 70</w:t>
      </w:r>
      <w:r w:rsidR="00B12068">
        <w:rPr>
          <w:b/>
          <w:bCs/>
        </w:rPr>
        <w:t>.</w:t>
      </w:r>
      <w:r>
        <w:rPr>
          <w:b/>
          <w:bCs/>
        </w:rPr>
        <w:t xml:space="preserve"> rocznica powstania Instytutu Ochrony Roślin. To dobry moment na podsumowania. Jaką rolę pełni IOR – PIB w szeroko pojętym rolnictwie?</w:t>
      </w:r>
    </w:p>
    <w:p w14:paraId="5E1D9EE0" w14:textId="3F21418D" w:rsidR="00904771" w:rsidRDefault="00B54AFB" w:rsidP="00B54AFB">
      <w:pPr>
        <w:spacing w:before="120" w:after="120"/>
        <w:jc w:val="both"/>
      </w:pPr>
      <w:r>
        <w:t xml:space="preserve">Od początku działalności Instytut Ochrony Roślin był ważnym ośrodkiem </w:t>
      </w:r>
      <w:r w:rsidR="00DF21DE" w:rsidRPr="00DF21DE">
        <w:t>naukowo-badawczy</w:t>
      </w:r>
      <w:r>
        <w:t>m</w:t>
      </w:r>
      <w:r w:rsidR="00DF21DE" w:rsidRPr="00DF21DE">
        <w:t>, wdrożeniowy</w:t>
      </w:r>
      <w:r>
        <w:t>m</w:t>
      </w:r>
      <w:r w:rsidR="00DF21DE" w:rsidRPr="00DF21DE">
        <w:t>, upowszechnieniowy</w:t>
      </w:r>
      <w:r>
        <w:t>m</w:t>
      </w:r>
      <w:r w:rsidR="00DF21DE" w:rsidRPr="00DF21DE">
        <w:t xml:space="preserve"> i konsultacyjno-poradniczy</w:t>
      </w:r>
      <w:r>
        <w:t>m</w:t>
      </w:r>
      <w:r w:rsidR="00DF21DE" w:rsidRPr="00DF21DE">
        <w:t xml:space="preserve"> w zakresie ochrony roślin</w:t>
      </w:r>
      <w:r w:rsidR="00AE4071">
        <w:t xml:space="preserve"> oraz identyfikacji i opracowywani</w:t>
      </w:r>
      <w:r w:rsidR="00A858A6">
        <w:t>a</w:t>
      </w:r>
      <w:r w:rsidR="00AE4071">
        <w:t xml:space="preserve"> metod zwalczania </w:t>
      </w:r>
      <w:r w:rsidR="00DF21DE" w:rsidRPr="00DF21DE">
        <w:t>organizmów kwarantannowych.</w:t>
      </w:r>
      <w:r w:rsidR="00AE4071">
        <w:t xml:space="preserve"> Nasze działania realizujemy w oparciu o </w:t>
      </w:r>
      <w:r w:rsidR="00DF21DE" w:rsidRPr="00DF21DE">
        <w:t>subwencj</w:t>
      </w:r>
      <w:r w:rsidR="00AE4071">
        <w:t>ę</w:t>
      </w:r>
      <w:r w:rsidR="00DF21DE" w:rsidRPr="00DF21DE">
        <w:t xml:space="preserve"> Ministerstwa Edukacji i Nauki</w:t>
      </w:r>
      <w:r w:rsidR="00255689">
        <w:t xml:space="preserve"> oraz</w:t>
      </w:r>
      <w:r w:rsidR="00DF21DE" w:rsidRPr="00DF21DE">
        <w:t xml:space="preserve"> poprzez dotacje celowe, finansowane przez Ministerstwo Rolnictwa i Rozwoju Wsi, a także granty krajowe i zagraniczne. </w:t>
      </w:r>
      <w:r w:rsidR="00AE4071">
        <w:t xml:space="preserve">Nasi eksperci wykonują analizy, opracowania i ekspertyzy na rzecz </w:t>
      </w:r>
      <w:proofErr w:type="spellStart"/>
      <w:r w:rsidR="00DF21DE" w:rsidRPr="00DF21DE">
        <w:t>MRiRW</w:t>
      </w:r>
      <w:proofErr w:type="spellEnd"/>
      <w:r w:rsidR="00DF21DE" w:rsidRPr="00DF21DE">
        <w:t>, instytucji administracji państwowej</w:t>
      </w:r>
      <w:r w:rsidR="00DF21DE">
        <w:t xml:space="preserve"> </w:t>
      </w:r>
      <w:r w:rsidR="00DF21DE" w:rsidRPr="00DF21DE">
        <w:t>i innych organizacji działających na rzecz polskiego rolnictwa.</w:t>
      </w:r>
      <w:r w:rsidR="00AE4071">
        <w:t xml:space="preserve"> </w:t>
      </w:r>
    </w:p>
    <w:p w14:paraId="469ECD71" w14:textId="3E1EBD78" w:rsidR="00DF21DE" w:rsidRDefault="00AE4071" w:rsidP="00B54AFB">
      <w:pPr>
        <w:spacing w:before="120" w:after="120"/>
        <w:jc w:val="both"/>
      </w:pPr>
      <w:r>
        <w:t xml:space="preserve">Równolegle do prac naukowo-badawczych prowadzimy </w:t>
      </w:r>
      <w:r w:rsidR="00B12068">
        <w:t xml:space="preserve">również </w:t>
      </w:r>
      <w:r>
        <w:t xml:space="preserve">szeroko zakrojoną działalność upowszechnieniową, współpracując w tym zakresie m.in. z </w:t>
      </w:r>
      <w:proofErr w:type="spellStart"/>
      <w:r>
        <w:t>PIORiN</w:t>
      </w:r>
      <w:proofErr w:type="spellEnd"/>
      <w:r w:rsidR="00904771">
        <w:t>, ośrodkami doradztwa rolniczego, producentami roślin rolniczych i środków ochrony roślin, zakładami przemysłu spożywczego, a także praktykami: rolnikami i przedsiębiorcami rolnymi.</w:t>
      </w:r>
    </w:p>
    <w:p w14:paraId="6BA9029B" w14:textId="0110973A" w:rsidR="00904771" w:rsidRPr="0005144F" w:rsidRDefault="00264371" w:rsidP="00B54AFB">
      <w:pPr>
        <w:spacing w:before="120" w:after="120"/>
        <w:jc w:val="both"/>
        <w:rPr>
          <w:b/>
          <w:bCs/>
        </w:rPr>
      </w:pPr>
      <w:r w:rsidRPr="0005144F">
        <w:rPr>
          <w:b/>
          <w:bCs/>
        </w:rPr>
        <w:t>W jaki sposób upowszechniają Państwo wiedzę dotycząc</w:t>
      </w:r>
      <w:r w:rsidR="00B12068">
        <w:rPr>
          <w:b/>
          <w:bCs/>
        </w:rPr>
        <w:t>ą</w:t>
      </w:r>
      <w:r w:rsidRPr="0005144F">
        <w:rPr>
          <w:b/>
          <w:bCs/>
        </w:rPr>
        <w:t xml:space="preserve"> nowoczesnych metod ochrony roślin?</w:t>
      </w:r>
    </w:p>
    <w:p w14:paraId="22864211" w14:textId="269041AA" w:rsidR="00264371" w:rsidRDefault="00264371" w:rsidP="00B54AFB">
      <w:pPr>
        <w:spacing w:before="120" w:after="120"/>
        <w:jc w:val="both"/>
      </w:pPr>
      <w:r>
        <w:t xml:space="preserve">Jest to szereg stale prowadzonych </w:t>
      </w:r>
      <w:r w:rsidR="00B12068">
        <w:t>projektów</w:t>
      </w:r>
      <w:r>
        <w:t>, do których należy przede wszystkim działalność szkoleniowa</w:t>
      </w:r>
      <w:r w:rsidR="00B12068">
        <w:t xml:space="preserve">. Jej </w:t>
      </w:r>
      <w:r>
        <w:t xml:space="preserve">celem jest właśnie transfer wiedzy do praktyki rolniczej, jak również wspieranie polskiej gospodarki w zakresie innowacyjnej i proekologicznej ochrony upraw przed zagrożeniem ze strony agrofagów. Prowadzimy również studia podyplomowe w zakresie integrowanej produkcji </w:t>
      </w:r>
      <w:r w:rsidRPr="002F24B8">
        <w:t xml:space="preserve">ze szczególnym uwzględnieniem ochrony roślin i rolnictwa ekologicznego, które pozwalają absolwentom nabyć uprawnienia do prowadzenia szkoleń </w:t>
      </w:r>
      <w:r w:rsidR="00B12068">
        <w:t>dotyczących</w:t>
      </w:r>
      <w:r w:rsidRPr="002F24B8">
        <w:t xml:space="preserve"> integrowanej produkcji</w:t>
      </w:r>
      <w:r>
        <w:t>.</w:t>
      </w:r>
    </w:p>
    <w:p w14:paraId="628861D3" w14:textId="0596B4C9" w:rsidR="00DF21DE" w:rsidRDefault="0005144F" w:rsidP="00D4030E">
      <w:pPr>
        <w:spacing w:before="120" w:after="120"/>
        <w:jc w:val="both"/>
      </w:pPr>
      <w:r>
        <w:t xml:space="preserve">W kalendarzu działalności upowszechnieniowej bardzo ważne miejsce zajmują konferencje i sympozja, w tym nasze najważniejsze coroczne wydarzenie: Sesja Naukowa IOR – PIB. To podczas tej konferencji o wymiarze międzynarodowym prezentowane są najnowsze </w:t>
      </w:r>
      <w:r w:rsidR="00AE4071">
        <w:t xml:space="preserve">dokonania naukowo-badawcze </w:t>
      </w:r>
      <w:r>
        <w:t>prelegentów z kraju i zagranicy</w:t>
      </w:r>
      <w:r w:rsidR="00B12068">
        <w:t>,</w:t>
      </w:r>
      <w:r>
        <w:t xml:space="preserve"> prowadzone są </w:t>
      </w:r>
      <w:r w:rsidR="00B12068">
        <w:t xml:space="preserve">także </w:t>
      </w:r>
      <w:r>
        <w:t xml:space="preserve">panele dyskusyjne, w których uczestniczą zarówno przedstawiciele nauki, jak i doradcy </w:t>
      </w:r>
      <w:r w:rsidR="00B12068">
        <w:t>oraz</w:t>
      </w:r>
      <w:r>
        <w:t xml:space="preserve"> praktyc</w:t>
      </w:r>
      <w:r w:rsidR="00B12068">
        <w:t>y</w:t>
      </w:r>
      <w:r>
        <w:t xml:space="preserve"> rolniczy.</w:t>
      </w:r>
    </w:p>
    <w:p w14:paraId="0EA71F5D" w14:textId="0D0422E4" w:rsidR="007C73C1" w:rsidRDefault="007C73C1" w:rsidP="00D4030E">
      <w:pPr>
        <w:spacing w:before="120" w:after="120"/>
        <w:jc w:val="both"/>
      </w:pPr>
      <w:r>
        <w:t xml:space="preserve">Wraz z Komitetem Nauk Agronomicznych Polskiej Akademii Nauk oraz Polskim Towarzystwem Ochrony Roślin Instytut wydaje </w:t>
      </w:r>
      <w:r w:rsidR="00B12068">
        <w:t xml:space="preserve">ponadto </w:t>
      </w:r>
      <w:r>
        <w:t xml:space="preserve">dwa kwartalniki naukowe: </w:t>
      </w:r>
      <w:proofErr w:type="spellStart"/>
      <w:r>
        <w:t>Journal</w:t>
      </w:r>
      <w:proofErr w:type="spellEnd"/>
      <w:r>
        <w:t xml:space="preserve"> of Plant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(w j. angielskim) i Progress in Plant </w:t>
      </w:r>
      <w:proofErr w:type="spellStart"/>
      <w:r>
        <w:t>Protection</w:t>
      </w:r>
      <w:proofErr w:type="spellEnd"/>
      <w:r>
        <w:t xml:space="preserve"> (w j. polskim).</w:t>
      </w:r>
    </w:p>
    <w:p w14:paraId="251DD629" w14:textId="1C204B3B" w:rsidR="00DF21DE" w:rsidRPr="006B426E" w:rsidRDefault="00DF21DE" w:rsidP="00B54AFB">
      <w:pPr>
        <w:spacing w:before="120" w:after="120"/>
        <w:jc w:val="both"/>
        <w:rPr>
          <w:b/>
          <w:bCs/>
        </w:rPr>
      </w:pPr>
      <w:r w:rsidRPr="006B426E">
        <w:rPr>
          <w:b/>
          <w:bCs/>
        </w:rPr>
        <w:t xml:space="preserve">Działalność Instytutu obejmuje bardzo dużo obszarów i każdy oczywiście jest istotny, jednak na przestrzeni lat, wraz z rozwojem polskiego rolnictwa, </w:t>
      </w:r>
      <w:r w:rsidR="00D4030E">
        <w:rPr>
          <w:b/>
          <w:bCs/>
        </w:rPr>
        <w:t>znaczenie</w:t>
      </w:r>
      <w:r w:rsidRPr="006B426E">
        <w:rPr>
          <w:b/>
          <w:bCs/>
        </w:rPr>
        <w:t xml:space="preserve"> niektórych zakładów się zmieniał</w:t>
      </w:r>
      <w:r w:rsidR="00D4030E">
        <w:rPr>
          <w:b/>
          <w:bCs/>
        </w:rPr>
        <w:t>o</w:t>
      </w:r>
      <w:r w:rsidRPr="006B426E">
        <w:rPr>
          <w:b/>
          <w:bCs/>
        </w:rPr>
        <w:t>. Które były strategiczne kiedyś, które są obecnie, a które obszary zyskają znaczenie w najbliższej przyszłości?</w:t>
      </w:r>
    </w:p>
    <w:p w14:paraId="3A33BD9A" w14:textId="1E0797E5" w:rsidR="00226031" w:rsidRDefault="00DF21DE" w:rsidP="00276D6E">
      <w:pPr>
        <w:spacing w:before="120" w:after="120"/>
        <w:jc w:val="both"/>
      </w:pPr>
      <w:r>
        <w:t>Od początku Instytutu do najważniejszych kierunków badawczych należało opracowanie naukowych i praktycznych podstaw wykorzystania biologicznych</w:t>
      </w:r>
      <w:r w:rsidR="00D4030E" w:rsidRPr="00D4030E">
        <w:t xml:space="preserve"> </w:t>
      </w:r>
      <w:r w:rsidR="00D4030E">
        <w:t>metod ochrony roślin</w:t>
      </w:r>
      <w:r>
        <w:t xml:space="preserve">. </w:t>
      </w:r>
      <w:r w:rsidR="00D4030E">
        <w:t>Obecnie, z uwagi na wprowadzone przez Komisję Europejską w 2020 r. strategie „Od pola do stołu” oraz „Na rzecz bioróżnorodności”</w:t>
      </w:r>
      <w:r w:rsidR="00A858A6">
        <w:t>,</w:t>
      </w:r>
      <w:r w:rsidR="00D4030E">
        <w:t xml:space="preserve"> znaczenie metod biologicznych </w:t>
      </w:r>
      <w:r w:rsidR="000C7134">
        <w:t>jeszcze</w:t>
      </w:r>
      <w:r w:rsidR="00D4030E">
        <w:t xml:space="preserve"> wzrosło. Nowe wytyczne nakazują bowiem </w:t>
      </w:r>
      <w:r w:rsidR="00255689">
        <w:t xml:space="preserve">redukcję </w:t>
      </w:r>
      <w:r w:rsidR="00B77A4C">
        <w:t>stosowania chemicznych środków ochrony roślin</w:t>
      </w:r>
      <w:r w:rsidR="00D4030E">
        <w:t xml:space="preserve"> o 50%</w:t>
      </w:r>
      <w:r w:rsidR="00B77A4C">
        <w:t xml:space="preserve"> </w:t>
      </w:r>
      <w:r w:rsidR="00D4030E">
        <w:t xml:space="preserve">oraz kładą nacisk na </w:t>
      </w:r>
      <w:r w:rsidR="00276D6E">
        <w:t xml:space="preserve">większe wykorzystanie </w:t>
      </w:r>
      <w:r w:rsidR="00B77A4C">
        <w:t>metod</w:t>
      </w:r>
      <w:r w:rsidR="002F24B8">
        <w:t xml:space="preserve"> niechemicznych, w tym</w:t>
      </w:r>
      <w:r w:rsidR="00B77A4C">
        <w:t xml:space="preserve"> </w:t>
      </w:r>
      <w:r w:rsidR="00276D6E">
        <w:t xml:space="preserve">właśnie </w:t>
      </w:r>
      <w:r w:rsidR="00B77A4C">
        <w:t xml:space="preserve">biologicznych. </w:t>
      </w:r>
      <w:r w:rsidR="00276D6E">
        <w:t xml:space="preserve">Jestem przekonany, że to właśnie </w:t>
      </w:r>
      <w:r w:rsidR="00276D6E">
        <w:lastRenderedPageBreak/>
        <w:t xml:space="preserve">jeden z kierunków badawczych, który w najbliższych latach zyska na znaczeniu, prowadząc do </w:t>
      </w:r>
      <w:r w:rsidR="000C7134">
        <w:t xml:space="preserve">upowszechnienia się stosowania </w:t>
      </w:r>
      <w:r w:rsidR="00276D6E">
        <w:t xml:space="preserve">biologicznych metod ochrony roślin. </w:t>
      </w:r>
    </w:p>
    <w:p w14:paraId="60C5CA8E" w14:textId="5A675719" w:rsidR="00226031" w:rsidRDefault="00276D6E" w:rsidP="00276D6E">
      <w:pPr>
        <w:spacing w:before="120" w:after="120"/>
        <w:jc w:val="both"/>
      </w:pPr>
      <w:r>
        <w:t xml:space="preserve">Niezależnie od ograniczeń wprowadzonych w wymienionych strategiach, nadal ważnym obszarem działalności IOR – PIB będą badania </w:t>
      </w:r>
      <w:proofErr w:type="spellStart"/>
      <w:r>
        <w:t>przedrejestracyjne</w:t>
      </w:r>
      <w:proofErr w:type="spellEnd"/>
      <w:r>
        <w:t xml:space="preserve"> środków ochrony roślin. W związku z ograniczaniem liczby dozwolonych do stosowania substancji czynnych konieczne jest bowiem </w:t>
      </w:r>
      <w:r w:rsidR="00226031">
        <w:t xml:space="preserve">wprowadzenie nowych preparatów pozwalających na skuteczną ochronę upraw. </w:t>
      </w:r>
    </w:p>
    <w:p w14:paraId="625ECF77" w14:textId="159BBC9E" w:rsidR="009B2CEB" w:rsidRDefault="00226031" w:rsidP="00B54AFB">
      <w:pPr>
        <w:spacing w:before="120" w:after="120"/>
        <w:jc w:val="both"/>
      </w:pPr>
      <w:r>
        <w:t>Kolejnym obszarem, który prze</w:t>
      </w:r>
      <w:r w:rsidR="000C7134">
        <w:t>ż</w:t>
      </w:r>
      <w:r>
        <w:t xml:space="preserve">ywa obecnie intensywny rozwój jest </w:t>
      </w:r>
      <w:r w:rsidR="00B77A4C">
        <w:t>diagnostyka chorób roślin</w:t>
      </w:r>
      <w:r w:rsidR="001C0204">
        <w:t xml:space="preserve"> oraz wykorzystanie w niej </w:t>
      </w:r>
      <w:r w:rsidR="00B77A4C">
        <w:t>metod biologii molekularnej.</w:t>
      </w:r>
      <w:r w:rsidR="009B2CEB" w:rsidRPr="009B2CEB">
        <w:t xml:space="preserve"> </w:t>
      </w:r>
      <w:r w:rsidR="009B2CEB">
        <w:t xml:space="preserve">Pozwoliły one opisać wiele nowych dla naszego kraju gatunków agrofagów. Przykładem jest pierwsze w Polsce wykrycie </w:t>
      </w:r>
      <w:r w:rsidR="001C0204">
        <w:t xml:space="preserve">w okolicach Rzeszowa, przez profesora IOR – PIB, dr. hab. Pawła Beresia, </w:t>
      </w:r>
      <w:r w:rsidR="009B2CEB">
        <w:t>stonki kukurydzianej i opracowanie strategii jej zwalczania.</w:t>
      </w:r>
    </w:p>
    <w:p w14:paraId="6A49F972" w14:textId="4D1B369A" w:rsidR="009B2CEB" w:rsidRDefault="001C0204" w:rsidP="00B54AFB">
      <w:pPr>
        <w:spacing w:before="120" w:after="120"/>
        <w:jc w:val="both"/>
      </w:pPr>
      <w:r>
        <w:t xml:space="preserve">Od wielu lat laboratoria IOR – PIB (m.in. w Terenowej Stacji Doświadczalnej w Białymstoku, Oddziale w Sośnicowicach i w Poznaniu) prowadzą monitoring </w:t>
      </w:r>
      <w:r w:rsidR="009B2CEB">
        <w:t xml:space="preserve">pozostałości środków ochrony roślin. Wyniki tych badań są podstawą do oceny jakości polskiej żywności i pasz roślinnych stosowanych do żywienia zwierząt oraz wody użytkowanej do celów gospodarczych. </w:t>
      </w:r>
      <w:r w:rsidR="007E78CB">
        <w:t xml:space="preserve">Warto zauważyć, </w:t>
      </w:r>
      <w:r w:rsidR="000C7134">
        <w:t>ż</w:t>
      </w:r>
      <w:r w:rsidR="007E78CB">
        <w:t>e w ostatnich latach znacznie wzrosła świadomość konsumentów dotycząca jakości produktów spożywczych. Ten trend</w:t>
      </w:r>
      <w:r w:rsidR="00A858A6">
        <w:t>,</w:t>
      </w:r>
      <w:r w:rsidR="007E78CB">
        <w:t xml:space="preserve"> z duż</w:t>
      </w:r>
      <w:r w:rsidR="000C7134">
        <w:t>ą</w:t>
      </w:r>
      <w:r w:rsidR="007E78CB">
        <w:t xml:space="preserve"> dozą prawdopodobieństwa</w:t>
      </w:r>
      <w:r w:rsidR="00A858A6">
        <w:t>,</w:t>
      </w:r>
      <w:r w:rsidR="007E78CB">
        <w:t xml:space="preserve"> będzie się umacniać, zatem rola laboratoriów badających pozostałości środków ochrony roślin również wzrośnie.</w:t>
      </w:r>
    </w:p>
    <w:p w14:paraId="2FE19885" w14:textId="2D64B5DC" w:rsidR="00B77A4C" w:rsidRPr="007E78CB" w:rsidRDefault="007E78CB" w:rsidP="00B54AFB">
      <w:pPr>
        <w:spacing w:before="120" w:after="120"/>
        <w:jc w:val="both"/>
        <w:rPr>
          <w:b/>
          <w:bCs/>
        </w:rPr>
      </w:pPr>
      <w:r w:rsidRPr="007E78CB">
        <w:rPr>
          <w:b/>
          <w:bCs/>
        </w:rPr>
        <w:t>Wróćmy jeszcze na chwil</w:t>
      </w:r>
      <w:r>
        <w:rPr>
          <w:b/>
          <w:bCs/>
        </w:rPr>
        <w:t>ę do przeszłości</w:t>
      </w:r>
      <w:r w:rsidRPr="007E78CB">
        <w:rPr>
          <w:b/>
          <w:bCs/>
        </w:rPr>
        <w:t>. J</w:t>
      </w:r>
      <w:r w:rsidR="006D47D6" w:rsidRPr="007E78CB">
        <w:rPr>
          <w:b/>
          <w:bCs/>
        </w:rPr>
        <w:t>akie są</w:t>
      </w:r>
      <w:r w:rsidRPr="007E78CB">
        <w:rPr>
          <w:b/>
          <w:bCs/>
        </w:rPr>
        <w:t>,</w:t>
      </w:r>
      <w:r w:rsidR="006D47D6" w:rsidRPr="007E78CB">
        <w:rPr>
          <w:b/>
          <w:bCs/>
        </w:rPr>
        <w:t xml:space="preserve"> Pana zdaniem</w:t>
      </w:r>
      <w:r w:rsidRPr="007E78CB">
        <w:rPr>
          <w:b/>
          <w:bCs/>
        </w:rPr>
        <w:t>,</w:t>
      </w:r>
      <w:r w:rsidR="006D47D6" w:rsidRPr="007E78CB">
        <w:rPr>
          <w:b/>
          <w:bCs/>
        </w:rPr>
        <w:t xml:space="preserve"> najważniejsze </w:t>
      </w:r>
      <w:r>
        <w:rPr>
          <w:b/>
          <w:bCs/>
        </w:rPr>
        <w:t>kamienie</w:t>
      </w:r>
      <w:r w:rsidR="006D47D6" w:rsidRPr="007E78CB">
        <w:rPr>
          <w:b/>
          <w:bCs/>
        </w:rPr>
        <w:t xml:space="preserve"> milowe </w:t>
      </w:r>
      <w:r>
        <w:rPr>
          <w:b/>
          <w:bCs/>
        </w:rPr>
        <w:t xml:space="preserve">w historii </w:t>
      </w:r>
      <w:r w:rsidR="006D47D6" w:rsidRPr="007E78CB">
        <w:rPr>
          <w:b/>
          <w:bCs/>
        </w:rPr>
        <w:t>Instytutu?</w:t>
      </w:r>
    </w:p>
    <w:p w14:paraId="6E98F11F" w14:textId="75512B46" w:rsidR="00963FE9" w:rsidRDefault="006D47D6" w:rsidP="00B54AFB">
      <w:pPr>
        <w:spacing w:before="120" w:after="120"/>
        <w:jc w:val="both"/>
      </w:pPr>
      <w:r>
        <w:t xml:space="preserve">Pierwszym </w:t>
      </w:r>
      <w:r w:rsidR="007E78CB">
        <w:t>kamieniem</w:t>
      </w:r>
      <w:r>
        <w:t xml:space="preserve"> milowym było </w:t>
      </w:r>
      <w:r w:rsidR="007E78CB">
        <w:t xml:space="preserve">samo </w:t>
      </w:r>
      <w:r>
        <w:t xml:space="preserve">powołanie </w:t>
      </w:r>
      <w:r w:rsidR="007E78CB">
        <w:t xml:space="preserve">Instytutu Ochrony Roślin z siedzibą w Puławach, </w:t>
      </w:r>
      <w:r>
        <w:t xml:space="preserve">w 1951 </w:t>
      </w:r>
      <w:r w:rsidR="007E78CB">
        <w:t>r.</w:t>
      </w:r>
      <w:r>
        <w:t xml:space="preserve"> </w:t>
      </w:r>
      <w:r w:rsidR="007E78CB">
        <w:t>Kolejny to w</w:t>
      </w:r>
      <w:r>
        <w:t xml:space="preserve">ielkie zagrożenie upraw </w:t>
      </w:r>
      <w:r w:rsidR="000C7134">
        <w:t>związane z masowym pojawieniem się</w:t>
      </w:r>
      <w:r>
        <w:t xml:space="preserve"> stonk</w:t>
      </w:r>
      <w:r w:rsidR="002D7216">
        <w:t>i</w:t>
      </w:r>
      <w:r>
        <w:t xml:space="preserve"> ziemniaczan</w:t>
      </w:r>
      <w:r w:rsidR="002D7216">
        <w:t>ej</w:t>
      </w:r>
      <w:r>
        <w:t xml:space="preserve">, </w:t>
      </w:r>
      <w:r w:rsidR="007E78CB">
        <w:t xml:space="preserve">które </w:t>
      </w:r>
      <w:r>
        <w:t xml:space="preserve">przyczyniło się do powstania w 1953 r. </w:t>
      </w:r>
      <w:r w:rsidR="007E78CB">
        <w:t>o</w:t>
      </w:r>
      <w:r>
        <w:t xml:space="preserve">ddziału Instytutu w Poznaniu. W roku 1956 siedzibę Instytutu przeniesiono do Poznania, a </w:t>
      </w:r>
      <w:r w:rsidR="00894E1B">
        <w:t>d</w:t>
      </w:r>
      <w:r>
        <w:t xml:space="preserve">yrektorem został </w:t>
      </w:r>
      <w:r w:rsidR="00894E1B">
        <w:t>p</w:t>
      </w:r>
      <w:r>
        <w:t xml:space="preserve">rofesor Władysław Węgorek, który prowadził i rozwijał IOR przez 33 lata. </w:t>
      </w:r>
    </w:p>
    <w:p w14:paraId="1E174C2A" w14:textId="2059A2DF" w:rsidR="00963FE9" w:rsidRDefault="00963FE9" w:rsidP="00B54AFB">
      <w:pPr>
        <w:spacing w:before="120" w:after="120"/>
        <w:jc w:val="both"/>
      </w:pPr>
      <w:r>
        <w:t xml:space="preserve">Ważnym wydarzeniem w historii IOR była organizacja pierwszej </w:t>
      </w:r>
      <w:r w:rsidR="006D47D6">
        <w:t>Sesj</w:t>
      </w:r>
      <w:r>
        <w:t>i</w:t>
      </w:r>
      <w:r w:rsidR="006D47D6">
        <w:t xml:space="preserve"> Naukow</w:t>
      </w:r>
      <w:r>
        <w:t>ej</w:t>
      </w:r>
      <w:r w:rsidR="00EF1397">
        <w:t>, która integrowała naukowców z Polski i zagranicy oraz skupiała służby ochrony roślin, doradców i praktyków</w:t>
      </w:r>
      <w:r>
        <w:t>, dając początek pięknej tradycji spotkań nauki i praktyki rolniczej.</w:t>
      </w:r>
    </w:p>
    <w:p w14:paraId="615CEC31" w14:textId="6B51041A" w:rsidR="006D47D6" w:rsidRDefault="00A359BD" w:rsidP="00B54AFB">
      <w:pPr>
        <w:spacing w:before="120" w:after="120"/>
        <w:jc w:val="both"/>
      </w:pPr>
      <w:r>
        <w:t>W 2008 roku</w:t>
      </w:r>
      <w:r w:rsidR="00963FE9">
        <w:t>,</w:t>
      </w:r>
      <w:r>
        <w:t xml:space="preserve"> na mocy rozporządzenia Rady Ministrów, Instytut uzyskał status Państwowego Instytutu Badawczego, przez co został zobowiązany do utrzymania wysokiego poziomu badań naukowych, jak również większego zaangażowania w upowszechnianie oraz wdrażanie wyników i pozyskanej wiedzy do praktyki rolniczej.</w:t>
      </w:r>
    </w:p>
    <w:p w14:paraId="44DE06F7" w14:textId="345EB810" w:rsidR="00512B22" w:rsidRDefault="001F3C80" w:rsidP="00B54AFB">
      <w:pPr>
        <w:spacing w:before="120" w:after="120"/>
        <w:jc w:val="both"/>
      </w:pPr>
      <w:r>
        <w:t>Z kolei w</w:t>
      </w:r>
      <w:r w:rsidR="00512B22" w:rsidRPr="00512B22">
        <w:t xml:space="preserve"> 2009 r</w:t>
      </w:r>
      <w:r>
        <w:t>.</w:t>
      </w:r>
      <w:r w:rsidR="00512B22" w:rsidRPr="00512B22">
        <w:t xml:space="preserve"> powołano do życia Centrum Badań Organizmów Kwarantannowych, Inwazyjnych i Genetycznie Zmodyfikowanych zlokalizowane w </w:t>
      </w:r>
      <w:r>
        <w:t xml:space="preserve">nowoczesnym </w:t>
      </w:r>
      <w:r w:rsidR="00512B22" w:rsidRPr="00512B22">
        <w:t xml:space="preserve">budynku o </w:t>
      </w:r>
      <w:r>
        <w:t>najwyższym</w:t>
      </w:r>
      <w:r w:rsidR="00512B22" w:rsidRPr="00512B22">
        <w:t xml:space="preserve"> poziomie bezpieczeństwa biologicznego</w:t>
      </w:r>
      <w:r>
        <w:t xml:space="preserve"> (laboratoria i szklarnie BSL3)</w:t>
      </w:r>
      <w:r w:rsidR="00512B22" w:rsidRPr="00512B22">
        <w:t>.</w:t>
      </w:r>
    </w:p>
    <w:p w14:paraId="36B0DF32" w14:textId="1E44B3F1" w:rsidR="001F3C80" w:rsidRDefault="001F3C80" w:rsidP="00B54AFB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70 lat działalności naukowo-badawczej to sporo czasu, wiele badań, doświadczeń i opracowań. Jakie dokonania </w:t>
      </w:r>
      <w:r w:rsidR="00F47A3D">
        <w:rPr>
          <w:b/>
          <w:bCs/>
        </w:rPr>
        <w:t xml:space="preserve">pracowników IOR – PIB warto szczególnie podkreślić? </w:t>
      </w:r>
    </w:p>
    <w:p w14:paraId="3D5881B3" w14:textId="29C9F74A" w:rsidR="007246E1" w:rsidRDefault="00F47A3D" w:rsidP="00B54AFB">
      <w:pPr>
        <w:spacing w:before="120" w:after="120"/>
        <w:jc w:val="both"/>
      </w:pPr>
      <w:r>
        <w:t xml:space="preserve">To niełatwe zadanie, tym bardziej, że takich sukcesów zespół IOR – PIB ma na swoim koncie wiele. Niektóre są bardziej „medialne”, inne zaś – może mniej spektakularne – miały niebagatelne znaczenie dla nauki i praktyki rolniczej. I każde z tych dokonań zasługuje na to, aby być docenione, bo wiąże się z intensywną pracą, wyrzeczeniami i niejednokrotnie wielką </w:t>
      </w:r>
      <w:r w:rsidR="007246E1">
        <w:t>determinacją</w:t>
      </w:r>
      <w:r>
        <w:t xml:space="preserve"> naszych naukowców. </w:t>
      </w:r>
    </w:p>
    <w:p w14:paraId="26175070" w14:textId="00740812" w:rsidR="009277E2" w:rsidRDefault="007246E1" w:rsidP="00B54AFB">
      <w:pPr>
        <w:spacing w:before="120" w:after="120"/>
        <w:jc w:val="both"/>
      </w:pPr>
      <w:r>
        <w:t xml:space="preserve">Z pewnością warto podkreślić w tym miejscu </w:t>
      </w:r>
      <w:r w:rsidR="005A26CD">
        <w:t>prowadzon</w:t>
      </w:r>
      <w:r>
        <w:t>e</w:t>
      </w:r>
      <w:r w:rsidR="005A26CD">
        <w:t xml:space="preserve"> w Instytucie </w:t>
      </w:r>
      <w:r>
        <w:t xml:space="preserve">badania, których celem </w:t>
      </w:r>
      <w:r w:rsidR="005A26CD">
        <w:t xml:space="preserve">jest rozszerzenie zakresu stosowania bezpiecznych dla konsumenta i środowiska czynników oraz metod biologicznego ograniczania populacji organizmów szkodliwych dla roślin. </w:t>
      </w:r>
      <w:r>
        <w:t xml:space="preserve">Efektem tych prac są </w:t>
      </w:r>
      <w:r w:rsidR="005A26CD">
        <w:t xml:space="preserve">metody </w:t>
      </w:r>
      <w:r w:rsidR="005A26CD">
        <w:lastRenderedPageBreak/>
        <w:t xml:space="preserve">masowej produkcji i stosowania pożytecznych wirusów, bakterii, grzybów i nicieni owadobójczych oraz entomofagów w ochronie upraw polowych, szklarniowych i grzybów jadalnych. Realizowane są także badania nad wykorzystaniem substancji naturalnych i pożytecznych mikroorganizmów w ochronie upraw ekologicznych. Opracowano </w:t>
      </w:r>
      <w:r w:rsidR="008F5CD8">
        <w:t xml:space="preserve">ponadto </w:t>
      </w:r>
      <w:r w:rsidR="005A26CD">
        <w:t>strategie stosowania właściwych zabiegów agrotechnicznych zapewniających zdrowotność upraw ekologicznyc</w:t>
      </w:r>
      <w:r>
        <w:t>h</w:t>
      </w:r>
      <w:r w:rsidR="005A26CD">
        <w:t>.</w:t>
      </w:r>
    </w:p>
    <w:p w14:paraId="67758DCF" w14:textId="5E84CD3B" w:rsidR="005A26CD" w:rsidRDefault="007246E1" w:rsidP="00B54AFB">
      <w:pPr>
        <w:spacing w:before="120" w:after="120"/>
        <w:jc w:val="both"/>
      </w:pPr>
      <w:r>
        <w:t>Z kolei m</w:t>
      </w:r>
      <w:r w:rsidR="005A26CD">
        <w:t>iędzynarodowy obrót materiałem roślinnym, obserwowane zmiany klimatyczne oraz intensyfikacja</w:t>
      </w:r>
      <w:r w:rsidR="00330D17">
        <w:t xml:space="preserve"> przemieszczania się ludzi stwarzają ryzyko rozprzestrzeniania się organizmów szkodliwych dla roślin, w tym organizmów szczególnie groźnych, tzw. kwarantannowych. </w:t>
      </w:r>
      <w:r w:rsidR="00CA7443">
        <w:t>IOR – PIB</w:t>
      </w:r>
      <w:r w:rsidR="00255689">
        <w:t xml:space="preserve"> o</w:t>
      </w:r>
      <w:r w:rsidR="00330D17">
        <w:t xml:space="preserve">kreśla obszary </w:t>
      </w:r>
      <w:r w:rsidR="00894E1B">
        <w:t xml:space="preserve">ich </w:t>
      </w:r>
      <w:r w:rsidR="00330D17">
        <w:t>potencjalnego występowania, zmienność populacyjną oraz sposoby ograniczania występowania</w:t>
      </w:r>
      <w:r w:rsidR="00894E1B">
        <w:t xml:space="preserve"> tych organizmów </w:t>
      </w:r>
      <w:r w:rsidR="00397EDE">
        <w:t xml:space="preserve">i ma możliwości opracowania </w:t>
      </w:r>
      <w:r w:rsidR="00330D17">
        <w:t>metod ich zwalczania zanim zadomowią się w Polsce.</w:t>
      </w:r>
    </w:p>
    <w:p w14:paraId="3436735D" w14:textId="53F18DAD" w:rsidR="008F5CD8" w:rsidRPr="008F5CD8" w:rsidRDefault="008F5CD8" w:rsidP="00B54AFB">
      <w:pPr>
        <w:spacing w:before="120" w:after="120"/>
        <w:jc w:val="both"/>
        <w:rPr>
          <w:b/>
          <w:bCs/>
        </w:rPr>
      </w:pPr>
      <w:r w:rsidRPr="008F5CD8">
        <w:rPr>
          <w:b/>
          <w:bCs/>
        </w:rPr>
        <w:t>A jakie prace badawcze powinny być docenione z punktu widzenia konsumentów żywności?</w:t>
      </w:r>
    </w:p>
    <w:p w14:paraId="23CE3616" w14:textId="45A657FC" w:rsidR="007375F7" w:rsidRDefault="008F5CD8" w:rsidP="00B54AFB">
      <w:pPr>
        <w:spacing w:before="120" w:after="120"/>
        <w:jc w:val="both"/>
      </w:pPr>
      <w:r>
        <w:t>W tym przypadku</w:t>
      </w:r>
      <w:r w:rsidR="00397EDE">
        <w:t xml:space="preserve"> warto z pewnością docenić badania pozostałości środków ochrony roślin i mykotoksyn </w:t>
      </w:r>
      <w:r w:rsidR="007375F7">
        <w:t xml:space="preserve">w płodach rolnych, środkach spożywczych, próbkach środowiskowych (woda i gleba) oraz biologicznych (pszczoły i produkty pszczelarskie). </w:t>
      </w:r>
      <w:r w:rsidR="002D7216">
        <w:t xml:space="preserve">Nasze laboratoria opracowują również </w:t>
      </w:r>
      <w:r w:rsidR="007375F7">
        <w:t>roczn</w:t>
      </w:r>
      <w:r w:rsidR="002D7216">
        <w:t>e</w:t>
      </w:r>
      <w:r w:rsidR="007375F7">
        <w:t xml:space="preserve"> raport</w:t>
      </w:r>
      <w:r w:rsidR="002D7216">
        <w:t>y</w:t>
      </w:r>
      <w:r w:rsidR="007375F7">
        <w:t xml:space="preserve"> o bezpieczeństwie żywności i pasz, analiz</w:t>
      </w:r>
      <w:r w:rsidR="002D7216">
        <w:t>y</w:t>
      </w:r>
      <w:r w:rsidR="007375F7">
        <w:t xml:space="preserve"> ryzyka dla konsumentów oraz identyfik</w:t>
      </w:r>
      <w:r w:rsidR="002D7216">
        <w:t>ują</w:t>
      </w:r>
      <w:r w:rsidR="007375F7">
        <w:t xml:space="preserve"> zagroże</w:t>
      </w:r>
      <w:r w:rsidR="002D7216">
        <w:t>nia</w:t>
      </w:r>
      <w:r w:rsidR="007375F7">
        <w:t xml:space="preserve"> środowiskow</w:t>
      </w:r>
      <w:r w:rsidR="002D7216">
        <w:t>e</w:t>
      </w:r>
      <w:r w:rsidR="007375F7">
        <w:t xml:space="preserve"> wynikając</w:t>
      </w:r>
      <w:r w:rsidR="006F2D92">
        <w:t>e</w:t>
      </w:r>
      <w:r w:rsidR="007375F7">
        <w:t xml:space="preserve"> z ujemnych skutków stosowania chemicznej ochrony roślin.</w:t>
      </w:r>
      <w:r w:rsidR="00281DDD">
        <w:t xml:space="preserve"> </w:t>
      </w:r>
      <w:r w:rsidR="00397EDE">
        <w:t xml:space="preserve">Prowadzimy również </w:t>
      </w:r>
      <w:r w:rsidR="00281DDD" w:rsidRPr="00281DDD">
        <w:t>badania jakości środków ochrony roślin pozwalające na wykrycie sfałszowanych środków ochrony roślin</w:t>
      </w:r>
      <w:r w:rsidR="00397EDE">
        <w:t>, co ma</w:t>
      </w:r>
      <w:r w:rsidR="00281DDD" w:rsidRPr="00281DDD">
        <w:t xml:space="preserve"> ogromne znaczenie w aspekcie ochrony konsumenta i dbałości o środowisko naturalne. Instytut</w:t>
      </w:r>
      <w:r w:rsidR="00281DDD">
        <w:t xml:space="preserve"> posiada certyfikowane laboratoria i</w:t>
      </w:r>
      <w:r w:rsidR="00281DDD" w:rsidRPr="00281DDD">
        <w:t xml:space="preserve"> należy do nielicznych jednostek w </w:t>
      </w:r>
      <w:r w:rsidR="00281DDD">
        <w:t>UE</w:t>
      </w:r>
      <w:r w:rsidR="00281DDD" w:rsidRPr="00281DDD">
        <w:t xml:space="preserve"> badających jakość środków ochrony roślin.</w:t>
      </w:r>
    </w:p>
    <w:p w14:paraId="52A23FA2" w14:textId="117548C3" w:rsidR="00397EDE" w:rsidRPr="008F5CD8" w:rsidRDefault="008F5CD8" w:rsidP="00B54AFB">
      <w:pPr>
        <w:spacing w:before="120" w:after="120"/>
        <w:jc w:val="both"/>
        <w:rPr>
          <w:b/>
          <w:bCs/>
        </w:rPr>
      </w:pPr>
      <w:r w:rsidRPr="008F5CD8">
        <w:rPr>
          <w:b/>
          <w:bCs/>
        </w:rPr>
        <w:t>Oznacza to, że prace badawcze prowadzone w IOR – PIB rzeczywiście mają przełożenie na praktykę rolniczą, ale też na produkcję spożywczą w Polsce.</w:t>
      </w:r>
    </w:p>
    <w:p w14:paraId="7826ACE1" w14:textId="4C2BED98" w:rsidR="00E819B7" w:rsidRDefault="008F5CD8" w:rsidP="00B54AFB">
      <w:pPr>
        <w:spacing w:before="120" w:after="120"/>
        <w:jc w:val="both"/>
      </w:pPr>
      <w:r>
        <w:t xml:space="preserve">Oczywiście. </w:t>
      </w:r>
      <w:r w:rsidR="00E819B7">
        <w:t xml:space="preserve">Pracownicy Instytutu zawsze umiejętnie łączyli wiedzę uzyskaną w badaniach naukowych z jej praktycznym wykorzystaniem. </w:t>
      </w:r>
      <w:r>
        <w:t xml:space="preserve">Powstałe w IOR – PIB </w:t>
      </w:r>
      <w:r w:rsidR="00E819B7">
        <w:t xml:space="preserve">rozwiązania badawcze udokumentowane w licznych publikacjach naukowych nie są materiałem do odstawienia „na półkę”, ale znajdują realne zastosowanie w praktyce rolniczej. </w:t>
      </w:r>
      <w:r w:rsidR="00EE4F82">
        <w:t xml:space="preserve">Nasi pracownicy </w:t>
      </w:r>
      <w:r w:rsidR="00E819B7">
        <w:t xml:space="preserve">publikują w renomowanych czasopismach o zasięgu międzynarodowym, co pozwala na szeroką dystrybucję osiągnięć naukowych. </w:t>
      </w:r>
      <w:r w:rsidR="00EE4F82">
        <w:t>W</w:t>
      </w:r>
      <w:r w:rsidR="00E819B7">
        <w:t xml:space="preserve"> ostatnich latach </w:t>
      </w:r>
      <w:r w:rsidR="00EE4F82">
        <w:t>uzyskali też aż 73 patenty (</w:t>
      </w:r>
      <w:r w:rsidR="00E819B7">
        <w:t>2017</w:t>
      </w:r>
      <w:r w:rsidR="00D52F9C">
        <w:t>–</w:t>
      </w:r>
      <w:r w:rsidR="00E819B7">
        <w:t>2021</w:t>
      </w:r>
      <w:r w:rsidR="00EE4F82">
        <w:t>)</w:t>
      </w:r>
      <w:r w:rsidR="00E819B7">
        <w:t xml:space="preserve">. Tak duża aktywność patentowa jest możliwa </w:t>
      </w:r>
      <w:r w:rsidR="006F2D92">
        <w:t>dzięki</w:t>
      </w:r>
      <w:r w:rsidR="00E819B7">
        <w:t xml:space="preserve"> współpracy z innymi jednostkami naukowymi (np. Politechniką Poznańską czy Uniwersytetem im. Adama Mickiewicza</w:t>
      </w:r>
      <w:r w:rsidR="006F2D92">
        <w:t xml:space="preserve"> w Poznaniu</w:t>
      </w:r>
      <w:r w:rsidR="00E819B7">
        <w:t>).</w:t>
      </w:r>
      <w:r w:rsidR="00EE4F82">
        <w:t xml:space="preserve"> Praktyczne rozwiązania, które powstały w oparciu o dokonania naukowe pracowników </w:t>
      </w:r>
      <w:r w:rsidR="006F2D92">
        <w:t>I</w:t>
      </w:r>
      <w:r w:rsidR="00EE4F82">
        <w:t>nstytutu lub pozwalają na bezpośredni transfer wiedzy do praktyki rolniczej</w:t>
      </w:r>
      <w:r w:rsidR="006F2D92">
        <w:t>,</w:t>
      </w:r>
      <w:r w:rsidR="00EE4F82">
        <w:t xml:space="preserve"> to również narzędzia informatyczne dla rolnictwa. Są to przede wszystkim system</w:t>
      </w:r>
      <w:r w:rsidR="006F2D92">
        <w:t>y</w:t>
      </w:r>
      <w:r w:rsidR="00EE4F82">
        <w:t xml:space="preserve"> doradcze: </w:t>
      </w:r>
      <w:proofErr w:type="spellStart"/>
      <w:r w:rsidR="00E819B7">
        <w:t>ResiHerb</w:t>
      </w:r>
      <w:proofErr w:type="spellEnd"/>
      <w:r w:rsidR="00E819B7">
        <w:t xml:space="preserve"> </w:t>
      </w:r>
      <w:r w:rsidR="00EC73A4">
        <w:t xml:space="preserve">(system doradczy w zakresie zarządzania odpornością chwastów na herbicydy – </w:t>
      </w:r>
      <w:hyperlink r:id="rId7" w:history="1">
        <w:r w:rsidR="00EC73A4" w:rsidRPr="00B121F5">
          <w:rPr>
            <w:rStyle w:val="Hipercze"/>
          </w:rPr>
          <w:t>www.zwalczchwasty.pl</w:t>
        </w:r>
      </w:hyperlink>
      <w:r w:rsidR="00EC73A4">
        <w:t xml:space="preserve">) </w:t>
      </w:r>
      <w:r w:rsidR="00E819B7">
        <w:t>oraz Platforma Sygnalizacji Agrofagów</w:t>
      </w:r>
      <w:r w:rsidR="00EC73A4">
        <w:t xml:space="preserve"> (monitoring upraw na terenie całej </w:t>
      </w:r>
      <w:r w:rsidR="006F2D92">
        <w:t>P</w:t>
      </w:r>
      <w:r w:rsidR="00EC73A4">
        <w:t xml:space="preserve">olski, sygnalizacja występowania agrofagów oraz </w:t>
      </w:r>
      <w:r w:rsidR="00E819B7">
        <w:t xml:space="preserve">baza </w:t>
      </w:r>
      <w:r w:rsidR="00EC73A4">
        <w:t>metod</w:t>
      </w:r>
      <w:r w:rsidR="00E819B7">
        <w:t xml:space="preserve"> integrowanej ochrony roślin</w:t>
      </w:r>
      <w:r w:rsidR="00EC73A4">
        <w:t xml:space="preserve"> – </w:t>
      </w:r>
      <w:hyperlink r:id="rId8" w:history="1">
        <w:r w:rsidR="00EC73A4" w:rsidRPr="00B121F5">
          <w:rPr>
            <w:rStyle w:val="Hipercze"/>
          </w:rPr>
          <w:t>www.agrofagi.com.pl</w:t>
        </w:r>
      </w:hyperlink>
      <w:r w:rsidR="00EC73A4">
        <w:t>)</w:t>
      </w:r>
      <w:r w:rsidR="00E819B7">
        <w:t xml:space="preserve">. </w:t>
      </w:r>
    </w:p>
    <w:p w14:paraId="63EFA60D" w14:textId="4C46C96B" w:rsidR="00EA2D2D" w:rsidRDefault="00EA2D2D" w:rsidP="00B54AFB">
      <w:pPr>
        <w:spacing w:before="120" w:after="120"/>
        <w:jc w:val="both"/>
        <w:rPr>
          <w:b/>
          <w:bCs/>
        </w:rPr>
      </w:pPr>
      <w:r>
        <w:rPr>
          <w:b/>
          <w:bCs/>
        </w:rPr>
        <w:t>Rozwiązania informatyczne dla rolnictwa to z pewnością trend, który będzie umacniać się w najbliższych latach. W jakich jeszcze kierunkach Instytut będzie się rozwijać?</w:t>
      </w:r>
    </w:p>
    <w:p w14:paraId="6E5E8984" w14:textId="5B4D813C" w:rsidR="00F05800" w:rsidRDefault="00EA2D2D" w:rsidP="00B54AFB">
      <w:pPr>
        <w:spacing w:before="120" w:after="120"/>
        <w:jc w:val="both"/>
      </w:pPr>
      <w:r w:rsidRPr="00EA2D2D">
        <w:t xml:space="preserve">Jesteśmy instytucją, która – z racji specyfiki działalności – bardzo szybko reaguje na zmiany w </w:t>
      </w:r>
      <w:r>
        <w:t xml:space="preserve">otoczeniu i wyzwania teraźniejszości oraz przyszłości. Musimy bowiem w stosunkowo krótkim czasie opracować metody ochrony uwzględniające zmieniające się przepisy, jak np. te wynikające z wprowadzenia </w:t>
      </w:r>
      <w:r w:rsidR="00B02318">
        <w:t>strategii</w:t>
      </w:r>
      <w:r>
        <w:t xml:space="preserve"> „Od pola do stołu” i „Na rzecz bioróżnorodności”. </w:t>
      </w:r>
      <w:r w:rsidR="00B02318">
        <w:t xml:space="preserve">Jest to możliwe także dlatego, </w:t>
      </w:r>
      <w:r w:rsidR="006F2D92">
        <w:t>ż</w:t>
      </w:r>
      <w:r w:rsidR="00B02318">
        <w:t xml:space="preserve">e gros prowadzonych w Instytucie badań wybiega w przyszłość. Na pewno ogromnym wyzwaniem dla całego </w:t>
      </w:r>
      <w:r w:rsidR="00B02318">
        <w:lastRenderedPageBreak/>
        <w:t xml:space="preserve">rolnictwa będzie konieczność zwiększenia areałów upraw ekologicznych do 25% powierzchni, a to wiąże się ze stworzeniem </w:t>
      </w:r>
      <w:r w:rsidR="00255689">
        <w:t>nowych programów ochrony</w:t>
      </w:r>
      <w:r w:rsidR="00B02318">
        <w:t>, uwzględniających specyfikę takiej produkcji</w:t>
      </w:r>
      <w:r w:rsidR="00255689">
        <w:t>.</w:t>
      </w:r>
    </w:p>
    <w:p w14:paraId="3BCE8D75" w14:textId="5496EF23" w:rsidR="00512B22" w:rsidRPr="00512B22" w:rsidRDefault="00512B22" w:rsidP="00B54AFB">
      <w:pPr>
        <w:spacing w:before="120" w:after="120"/>
        <w:jc w:val="both"/>
      </w:pPr>
      <w:r w:rsidRPr="00512B22">
        <w:t xml:space="preserve">Przyszłość </w:t>
      </w:r>
      <w:r w:rsidR="00A44C93">
        <w:t xml:space="preserve">IOR – PIB </w:t>
      </w:r>
      <w:r w:rsidRPr="00512B22">
        <w:t>związana jest z tematyką badawczą wychodzącą naprzeciw zmianom zachodzący</w:t>
      </w:r>
      <w:r w:rsidR="00A858A6">
        <w:t>m</w:t>
      </w:r>
      <w:r w:rsidRPr="00512B22">
        <w:t xml:space="preserve"> zarówno w produkcji rolniczej</w:t>
      </w:r>
      <w:r w:rsidR="00B02318">
        <w:t>,</w:t>
      </w:r>
      <w:r w:rsidRPr="00512B22">
        <w:t xml:space="preserve"> jak i ochronie roślin spowodowanej czynnikami środowiskowymi</w:t>
      </w:r>
      <w:r w:rsidR="00B02318">
        <w:t xml:space="preserve"> </w:t>
      </w:r>
      <w:r w:rsidR="007C73C1">
        <w:t>i</w:t>
      </w:r>
      <w:r w:rsidRPr="00512B22">
        <w:t xml:space="preserve"> prawno-organizacyjnymi. </w:t>
      </w:r>
      <w:r w:rsidR="006F2D92">
        <w:t xml:space="preserve">Mam tu na myśli </w:t>
      </w:r>
      <w:r w:rsidRPr="00512B22">
        <w:t xml:space="preserve">zmiany klimatyczne oraz konieczność produkcji żywności na </w:t>
      </w:r>
      <w:r w:rsidR="00B02318">
        <w:t>takim</w:t>
      </w:r>
      <w:r w:rsidRPr="00512B22">
        <w:t xml:space="preserve"> poziomie</w:t>
      </w:r>
      <w:r w:rsidR="00B02318">
        <w:t>,</w:t>
      </w:r>
      <w:r w:rsidRPr="00512B22">
        <w:t xml:space="preserve"> by zapewnić bezpieczeństwo żywnościowe mieszkańcom naszego kraju</w:t>
      </w:r>
      <w:r w:rsidR="006F2D92">
        <w:t xml:space="preserve">, jak również </w:t>
      </w:r>
      <w:r w:rsidRPr="00512B22">
        <w:t>strategie zmierzające do redukcji emisji gazów cieplarnianych oraz naciski ze strony konsumentów w kierunku produkcji żywności wolnej od chemicznych środków ochrony roślin.</w:t>
      </w:r>
    </w:p>
    <w:p w14:paraId="0D3F586A" w14:textId="77777777" w:rsidR="001E3C82" w:rsidRPr="00D52F9C" w:rsidRDefault="001E3C82" w:rsidP="001E3C82">
      <w:pPr>
        <w:spacing w:before="120" w:after="120"/>
        <w:jc w:val="both"/>
        <w:rPr>
          <w:b/>
          <w:bCs/>
        </w:rPr>
      </w:pPr>
      <w:r w:rsidRPr="00D52F9C">
        <w:rPr>
          <w:b/>
          <w:bCs/>
        </w:rPr>
        <w:t>Czy jubileusz 70-lecia będzie celebrowany w jakiś szczególny sposób? Jakie macie plany w tym zakresie?</w:t>
      </w:r>
    </w:p>
    <w:p w14:paraId="522F8D4F" w14:textId="474EC829" w:rsidR="001E3C82" w:rsidRDefault="001E3C82" w:rsidP="001E3C82">
      <w:pPr>
        <w:spacing w:before="120" w:after="120"/>
        <w:jc w:val="both"/>
      </w:pPr>
      <w:r>
        <w:t xml:space="preserve">Obchody 70-lecia Instytutu rozpoczęły się już w lutym, podczas Konferencji Ochrony Roślin – 61. Sesji Naukowej </w:t>
      </w:r>
      <w:r w:rsidR="001C6D94">
        <w:t>IOR – PIB</w:t>
      </w:r>
      <w:r>
        <w:t xml:space="preserve">, która </w:t>
      </w:r>
      <w:r w:rsidR="001C6D94">
        <w:t xml:space="preserve">– </w:t>
      </w:r>
      <w:r>
        <w:t xml:space="preserve">z uwagi na sytuację epidemiczną </w:t>
      </w:r>
      <w:r w:rsidR="001C6D94">
        <w:t xml:space="preserve">– </w:t>
      </w:r>
      <w:r>
        <w:t>była realizowana w sposób zdalny. Jednakże oficjalną uroczystość 70-lecia pod patronatami honorowymi M</w:t>
      </w:r>
      <w:r w:rsidR="00EB1ABB">
        <w:t>inisterstwa Rolnictwa i Rozwoju Wsi</w:t>
      </w:r>
      <w:r>
        <w:t>, M</w:t>
      </w:r>
      <w:r w:rsidR="00EB1ABB">
        <w:t>inisterstwa Edukacji i Nauki</w:t>
      </w:r>
      <w:r>
        <w:t xml:space="preserve"> oraz Wojewody Wielkopolskiego zaplanowaliśmy na 2 września 2021 r. Wówczas zostaną zaprezentowane okolicznościowe znaczki wydane przez Pocztę Polską, które upamiętniają 70-lecie IOR –</w:t>
      </w:r>
      <w:r w:rsidR="001C6D94">
        <w:t xml:space="preserve"> </w:t>
      </w:r>
      <w:r>
        <w:t>PIB. Na znaczkach znalazły się: stonka ziemniaczana, czyli „powód” powołania Instytutu; biedronka – symbol metod biologicznych; zagrożenie przez rdzę żółtą, która aktualnie jest wielkim problemem w ochronie zbóż, a także główne, ale też urodziwe chwasty</w:t>
      </w:r>
      <w:r w:rsidR="000B6CAD">
        <w:t>:</w:t>
      </w:r>
      <w:r>
        <w:t xml:space="preserve"> mak polny i chaber bławatek.</w:t>
      </w:r>
    </w:p>
    <w:p w14:paraId="054CEF63" w14:textId="4A3D54FC" w:rsidR="001E3C82" w:rsidRDefault="001E3C82" w:rsidP="001E3C82">
      <w:pPr>
        <w:spacing w:before="120" w:after="120"/>
        <w:jc w:val="both"/>
      </w:pPr>
      <w:r>
        <w:t>Podczas tego wydarzenia zostaną przedstawione referaty: „IOR – PIB wczoraj, dziś i jutro” oraz „Przyszłościowe kierunki ochrony roślin”, a około pięćdziesięciu pracowników I</w:t>
      </w:r>
      <w:r w:rsidR="001C6D94">
        <w:t>nstytutu</w:t>
      </w:r>
      <w:r>
        <w:t xml:space="preserve"> otrzyma odznaczenia państwowe i resortowe. </w:t>
      </w:r>
      <w:r w:rsidR="000B6CAD">
        <w:t>Naszych</w:t>
      </w:r>
      <w:r>
        <w:t xml:space="preserve"> gości zaprosimy też do zwiedzania Instytutu, a po części oficjalnej zaplanowaliśmy spotkanie integracyjne na zielonych terenach IOR – PIB.</w:t>
      </w:r>
    </w:p>
    <w:p w14:paraId="7284F369" w14:textId="77777777" w:rsidR="001E3C82" w:rsidRPr="00A44C93" w:rsidRDefault="001E3C82" w:rsidP="001E3C82">
      <w:pPr>
        <w:spacing w:before="120" w:after="120"/>
        <w:jc w:val="both"/>
        <w:rPr>
          <w:b/>
          <w:bCs/>
        </w:rPr>
      </w:pPr>
      <w:r w:rsidRPr="00A44C93">
        <w:rPr>
          <w:b/>
          <w:bCs/>
        </w:rPr>
        <w:t>Czego można życzyć Instytutowi z tej szczególnej okazji?</w:t>
      </w:r>
    </w:p>
    <w:p w14:paraId="1F7D1C5D" w14:textId="085504ED" w:rsidR="00963FE9" w:rsidRDefault="001E3C82" w:rsidP="00963FE9">
      <w:pPr>
        <w:spacing w:before="120" w:after="120"/>
        <w:jc w:val="both"/>
      </w:pPr>
      <w:r>
        <w:t>Jak każdemu jubilatowi – 100 lat, a nawet więcej. Dobrych warunków do rozwoju, nowych wyzwań i osiągni</w:t>
      </w:r>
      <w:r w:rsidR="00A858A6">
        <w:t>ę</w:t>
      </w:r>
      <w:r>
        <w:t>ć naukow</w:t>
      </w:r>
      <w:r w:rsidR="001C6D94">
        <w:t>ych</w:t>
      </w:r>
      <w:r>
        <w:t>, stabilnego i długofalowego finansowania, które pozwoli na bezpieczne prowadzenie projektów badawczych</w:t>
      </w:r>
      <w:r w:rsidR="001C6D94">
        <w:t xml:space="preserve">. A przede wszystkim </w:t>
      </w:r>
      <w:r w:rsidR="00EB1ABB">
        <w:t xml:space="preserve">skutecznej ochrony roślin, </w:t>
      </w:r>
      <w:r w:rsidR="00EB1ABB" w:rsidRPr="00EB1ABB">
        <w:t>zgodnie z hasłem „Chroniąc rośliny, chronisz życie”.</w:t>
      </w:r>
    </w:p>
    <w:p w14:paraId="40AAA953" w14:textId="77777777" w:rsidR="000B6CAD" w:rsidRDefault="000B6CAD" w:rsidP="00963FE9">
      <w:pPr>
        <w:spacing w:before="120" w:after="120"/>
        <w:jc w:val="both"/>
      </w:pPr>
    </w:p>
    <w:p w14:paraId="2C934DD2" w14:textId="3B37E067" w:rsidR="0026172A" w:rsidRPr="000B6CAD" w:rsidRDefault="000B6CAD" w:rsidP="00963FE9">
      <w:pPr>
        <w:spacing w:before="120" w:after="120"/>
        <w:jc w:val="both"/>
        <w:rPr>
          <w:i/>
          <w:iCs/>
          <w:sz w:val="20"/>
          <w:szCs w:val="20"/>
        </w:rPr>
      </w:pPr>
      <w:r w:rsidRPr="000B6CAD">
        <w:rPr>
          <w:i/>
          <w:iCs/>
          <w:sz w:val="20"/>
          <w:szCs w:val="20"/>
        </w:rPr>
        <w:t>Rozmawiała: Andromeda Wróbel</w:t>
      </w:r>
    </w:p>
    <w:p w14:paraId="69A8B5D8" w14:textId="77777777" w:rsidR="000B6CAD" w:rsidRDefault="000B6CAD" w:rsidP="00963FE9">
      <w:pPr>
        <w:spacing w:before="120" w:after="120"/>
        <w:jc w:val="both"/>
      </w:pPr>
    </w:p>
    <w:p w14:paraId="68990B8D" w14:textId="1923166F" w:rsidR="0026172A" w:rsidRPr="0026172A" w:rsidRDefault="0026172A" w:rsidP="0026172A">
      <w:pPr>
        <w:spacing w:before="120" w:after="120"/>
        <w:jc w:val="both"/>
        <w:rPr>
          <w:b/>
          <w:bCs/>
        </w:rPr>
      </w:pPr>
      <w:r w:rsidRPr="0026172A">
        <w:rPr>
          <w:b/>
          <w:bCs/>
        </w:rPr>
        <w:t>Kierunki badań oraz wdrożeń, jakie Instytut Ochrony Roślin – Państwowy Instytut Badawczy planuje zrealizować do 2050 r.:</w:t>
      </w:r>
    </w:p>
    <w:p w14:paraId="525D04C7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 xml:space="preserve">Doskonalenie metod integrowanej ochrony roślin (metody </w:t>
      </w:r>
      <w:proofErr w:type="spellStart"/>
      <w:r w:rsidRPr="00512B22">
        <w:t>niechemiczne</w:t>
      </w:r>
      <w:proofErr w:type="spellEnd"/>
      <w:r w:rsidRPr="00512B22">
        <w:t>, agrotechniczne, biologiczne, łączne użycie agrochemikaliów, wykorzystanie biostymulatorów).</w:t>
      </w:r>
    </w:p>
    <w:p w14:paraId="558D16FD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Doskonalenie metod szybkiej diagnostyki agrofagów (metody molekularne, automatyczne pułapki).</w:t>
      </w:r>
    </w:p>
    <w:p w14:paraId="20B7D9CE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Naukowe wykorzystanie biologii molekularnej (badanie zmian w metabolizmie odmian roślin uprawnych na stresy biotyczne i abiotyczne, prace nad odpornością roślin na patogeny).</w:t>
      </w:r>
    </w:p>
    <w:p w14:paraId="482B6AE8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Wykorzystanie modeli matematycznych w ochronie roślin (np. w odpowiedzi na zmiany klimatyczne i migrację agrofagów, oceny ryzyka, prognozowanie występowania agrofagów). </w:t>
      </w:r>
    </w:p>
    <w:p w14:paraId="44B13387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 xml:space="preserve">Cyfryzacja i robotyzacja w ochronie roślin poprzez zastosowanie sztucznej inteligencji, uczenia maszynowego i wykorzystanie ich do rozwoju inteligentnych systemów wspomagania decyzji, </w:t>
      </w:r>
      <w:r w:rsidRPr="00512B22">
        <w:lastRenderedPageBreak/>
        <w:t>precyzyjnej ochrony roślin, automatyzacji ocen ryzyka oraz monitorowania rozprzestrzeniania organizmów kwarantannowych.</w:t>
      </w:r>
    </w:p>
    <w:p w14:paraId="5D129570" w14:textId="57DDB97A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Naukowe opracowanie wpływu ochrony roślin na organizmy pożyteczne</w:t>
      </w:r>
      <w:r w:rsidR="001C6D94">
        <w:t>,</w:t>
      </w:r>
      <w:r w:rsidRPr="00512B22">
        <w:t xml:space="preserve"> w tym zapylacze.</w:t>
      </w:r>
    </w:p>
    <w:p w14:paraId="2CFBC9E6" w14:textId="77777777" w:rsidR="0026172A" w:rsidRPr="00512B22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Opracowanie naukowych zasad ochrony upraw ekologicznych.</w:t>
      </w:r>
    </w:p>
    <w:p w14:paraId="56A7B622" w14:textId="380AC124" w:rsidR="0026172A" w:rsidRDefault="0026172A" w:rsidP="0026172A">
      <w:pPr>
        <w:pStyle w:val="Akapitzlist"/>
        <w:numPr>
          <w:ilvl w:val="0"/>
          <w:numId w:val="6"/>
        </w:numPr>
        <w:spacing w:before="120" w:after="120"/>
        <w:jc w:val="both"/>
      </w:pPr>
      <w:r w:rsidRPr="00512B22">
        <w:t>Doskonalenie metod oznaczania pozostałości środków ochrony roślin.</w:t>
      </w:r>
    </w:p>
    <w:sectPr w:rsidR="002617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08BB" w14:textId="77777777" w:rsidR="001E6920" w:rsidRDefault="001E6920" w:rsidP="001E6920">
      <w:pPr>
        <w:spacing w:after="0" w:line="240" w:lineRule="auto"/>
      </w:pPr>
      <w:r>
        <w:separator/>
      </w:r>
    </w:p>
  </w:endnote>
  <w:endnote w:type="continuationSeparator" w:id="0">
    <w:p w14:paraId="78B3B1F3" w14:textId="77777777" w:rsidR="001E6920" w:rsidRDefault="001E6920" w:rsidP="001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4357" w14:textId="1573DE5D" w:rsidR="001E6920" w:rsidRPr="001E6920" w:rsidRDefault="001E6920" w:rsidP="001E6920">
    <w:pPr>
      <w:pStyle w:val="Stopka"/>
    </w:pPr>
    <w:r>
      <w:rPr>
        <w:sz w:val="18"/>
      </w:rPr>
      <w:t>Nonoproblemo upoważnia Państwa Redakcję do korzystania z dostarczanych materiałów i zdjęć, w szczególności na potrzeby materiałów prasowych przygotowywanych lub publikowanych przez Państwa Redakcję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FA4F" w14:textId="77777777" w:rsidR="001E6920" w:rsidRDefault="001E6920" w:rsidP="001E6920">
      <w:pPr>
        <w:spacing w:after="0" w:line="240" w:lineRule="auto"/>
      </w:pPr>
      <w:r>
        <w:separator/>
      </w:r>
    </w:p>
  </w:footnote>
  <w:footnote w:type="continuationSeparator" w:id="0">
    <w:p w14:paraId="159ABD92" w14:textId="77777777" w:rsidR="001E6920" w:rsidRDefault="001E6920" w:rsidP="001E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E47"/>
    <w:multiLevelType w:val="hybridMultilevel"/>
    <w:tmpl w:val="C2363988"/>
    <w:lvl w:ilvl="0" w:tplc="6778D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A9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06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74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0C1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2B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E86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ADB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C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42889"/>
    <w:multiLevelType w:val="hybridMultilevel"/>
    <w:tmpl w:val="76A28496"/>
    <w:lvl w:ilvl="0" w:tplc="11C4C8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A80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234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613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F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09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8E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6F8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88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1EAD"/>
    <w:multiLevelType w:val="hybridMultilevel"/>
    <w:tmpl w:val="23BAE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222D"/>
    <w:multiLevelType w:val="hybridMultilevel"/>
    <w:tmpl w:val="B482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26E"/>
    <w:multiLevelType w:val="hybridMultilevel"/>
    <w:tmpl w:val="8B886FD0"/>
    <w:lvl w:ilvl="0" w:tplc="F10ACB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453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EE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AE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408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23B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C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E3E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672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3717B"/>
    <w:multiLevelType w:val="hybridMultilevel"/>
    <w:tmpl w:val="974CA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E"/>
    <w:rsid w:val="0005144F"/>
    <w:rsid w:val="000B152D"/>
    <w:rsid w:val="000B6CAD"/>
    <w:rsid w:val="000C7134"/>
    <w:rsid w:val="00103331"/>
    <w:rsid w:val="001C0204"/>
    <w:rsid w:val="001C6D94"/>
    <w:rsid w:val="001E3C82"/>
    <w:rsid w:val="001E6920"/>
    <w:rsid w:val="001F3C80"/>
    <w:rsid w:val="00226031"/>
    <w:rsid w:val="00255689"/>
    <w:rsid w:val="0026172A"/>
    <w:rsid w:val="0026286B"/>
    <w:rsid w:val="00264371"/>
    <w:rsid w:val="00276D6E"/>
    <w:rsid w:val="00281DDD"/>
    <w:rsid w:val="002D2147"/>
    <w:rsid w:val="002D7216"/>
    <w:rsid w:val="002F24B8"/>
    <w:rsid w:val="00330D17"/>
    <w:rsid w:val="00335F9D"/>
    <w:rsid w:val="00397EDE"/>
    <w:rsid w:val="004C744D"/>
    <w:rsid w:val="00512B22"/>
    <w:rsid w:val="005868F7"/>
    <w:rsid w:val="005A26CD"/>
    <w:rsid w:val="006B426E"/>
    <w:rsid w:val="006D47D6"/>
    <w:rsid w:val="006F2D92"/>
    <w:rsid w:val="007246E1"/>
    <w:rsid w:val="007375F7"/>
    <w:rsid w:val="007B3886"/>
    <w:rsid w:val="007C73C1"/>
    <w:rsid w:val="007E78CB"/>
    <w:rsid w:val="00825352"/>
    <w:rsid w:val="0084498F"/>
    <w:rsid w:val="00894E1B"/>
    <w:rsid w:val="008F5CD8"/>
    <w:rsid w:val="009034A1"/>
    <w:rsid w:val="00904771"/>
    <w:rsid w:val="00913C87"/>
    <w:rsid w:val="009277E2"/>
    <w:rsid w:val="00963FE9"/>
    <w:rsid w:val="009B2CEB"/>
    <w:rsid w:val="00A359BD"/>
    <w:rsid w:val="00A44C93"/>
    <w:rsid w:val="00A7621E"/>
    <w:rsid w:val="00A849A0"/>
    <w:rsid w:val="00A858A6"/>
    <w:rsid w:val="00AE4071"/>
    <w:rsid w:val="00B02318"/>
    <w:rsid w:val="00B12068"/>
    <w:rsid w:val="00B54AFB"/>
    <w:rsid w:val="00B77A4C"/>
    <w:rsid w:val="00CA143B"/>
    <w:rsid w:val="00CA7443"/>
    <w:rsid w:val="00D15E8D"/>
    <w:rsid w:val="00D4030E"/>
    <w:rsid w:val="00D47B5A"/>
    <w:rsid w:val="00D52F9C"/>
    <w:rsid w:val="00D53797"/>
    <w:rsid w:val="00D80ECC"/>
    <w:rsid w:val="00DF21DE"/>
    <w:rsid w:val="00E07AF9"/>
    <w:rsid w:val="00E21845"/>
    <w:rsid w:val="00E819B7"/>
    <w:rsid w:val="00EA2D2D"/>
    <w:rsid w:val="00EB1ABB"/>
    <w:rsid w:val="00EC73A4"/>
    <w:rsid w:val="00EE4F82"/>
    <w:rsid w:val="00EF1397"/>
    <w:rsid w:val="00F05800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6DEC"/>
  <w15:chartTrackingRefBased/>
  <w15:docId w15:val="{42E19E52-B4A1-462E-9C3F-27CB9A3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3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3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E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920"/>
  </w:style>
  <w:style w:type="paragraph" w:styleId="Stopka">
    <w:name w:val="footer"/>
    <w:basedOn w:val="Normalny"/>
    <w:link w:val="StopkaZnak"/>
    <w:uiPriority w:val="99"/>
    <w:unhideWhenUsed/>
    <w:rsid w:val="001E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fagi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walczchwas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2123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Świgoń</dc:creator>
  <cp:keywords/>
  <dc:description/>
  <cp:lastModifiedBy>Alicja</cp:lastModifiedBy>
  <cp:revision>14</cp:revision>
  <cp:lastPrinted>2021-08-18T08:19:00Z</cp:lastPrinted>
  <dcterms:created xsi:type="dcterms:W3CDTF">2021-08-17T08:55:00Z</dcterms:created>
  <dcterms:modified xsi:type="dcterms:W3CDTF">2021-08-19T08:16:00Z</dcterms:modified>
</cp:coreProperties>
</file>